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61</w:t>
      </w:r>
    </w:p>
    <w:p>
      <w:r>
        <w:t>Bundesgericht (BGE), 1974-02-20, DE</w:t>
      </w:r>
    </w:p>
    <w:p>
      <w:r>
        <w:rPr>
          <w:b/>
        </w:rPr>
        <w:t xml:space="preserve">Quelle: </w:t>
      </w:r>
      <w:r>
        <w:t>https://mcp.opencaselaw.ch/entscheid/bge_100 V 61</w:t>
      </w:r>
    </w:p>
    <w:p>
      <w:r>
        <w:t>FR: ATF 100 V 61</w:t>
      </w:r>
    </w:p>
    <w:p>
      <w:r>
        <w:t>IT: DTF 100 V 61</w:t>
      </w:r>
    </w:p>
    <w:p>
      <w:pPr>
        <w:pStyle w:val="Heading2"/>
      </w:pPr>
      <w:r>
        <w:t>Regeste</w:t>
      </w:r>
    </w:p>
    <w:p>
      <w:r>
        <w:t>Regeste Art. 121 KUVG. Grenzen der Untersuchungsmaxime im kantonalen Verfahren um die unentgeltliche Rechtspflege.</w:t>
      </w:r>
    </w:p>
    <w:p>
      <w:pPr>
        <w:pStyle w:val="Heading2"/>
      </w:pPr>
      <w:r>
        <w:t>Erwägungen</w:t>
      </w:r>
    </w:p>
    <w:p>
      <w:r>
        <w:rPr>
          <w:b/>
        </w:rPr>
        <w:t>E. 1</w:t>
      </w:r>
    </w:p>
    <w:p>
      <w:r>
        <w:t>Der kantonale Entscheid über die Verweigerung der unentgeltlichen Rechtspflege gehört zu den Zwischenverfügungen, die einen nicht wieder gutzumachenden Nachteil bewirken können. Er kann daher selbständig mit Verwaltungsgerichtsbeschwerde beim Eidg. Versicherungsgericht angefochten werden (Art. 5 Abs. 2 in Verbindung mit Art. 45 Abs. 1 und 2 lit. h VwG sowie Art. 97 Abs. 1 und 128 OG ).</w:t>
      </w:r>
    </w:p>
    <w:p>
      <w:r>
        <w:rPr>
          <w:b/>
        </w:rPr>
        <w:t>E. 2</w:t>
      </w:r>
    </w:p>
    <w:p>
      <w:r>
        <w:t>Im Beschwerdeverfahren über die Verweigerung der unentgeltlichen Rechtspflege durch das kantonale Versicherungsgericht sind keine Versicherungsleistungen streitig, weshalb das Eidg.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Nach Gesetz und Praxis sind in der Regel die Voraussetzungen für die Bewilligung der unentgeltlichen Rechtspflege und Verbeiständung erfüllt, wenn der Prozess nicht offensichtlich aussichtslos, die Partei bedürftig und die Verbeiständung durch einen AnWalt notwendig oder doch geboten ist ( BGE 98 V 115 ).</w:t>
      </w:r>
    </w:p>
    <w:p>
      <w:r>
        <w:rPr>
          <w:b/>
        </w:rPr>
        <w:t>E. 4</w:t>
      </w:r>
    </w:p>
    <w:p>
      <w:r>
        <w:t>Entgegen der Auffassung des Beschwerdeführers genügt es nicht, einen aktenmässig erstellten Sachverhalt durch blosse Behauptungen zu bestreiten und dafür Beweisanträge zu stellen, damit der Sozialversicherungsrichter den Sachverhalt von Amtes wegen abkläre. Es geht nicht an, auf diese Weise die von der Vorinstanz auf Grund der vorhandenen Akten angenommene Aussichtslosigkeit der materiellen Begehren zu bestreiten und im Ergebnis die Gewährung der unentgeltlichen Rechtspflege zu erzwingen. BGE 100 V 61 S. 63 Die Untersuchungsmaxime (vgl. dazu BGE 96 V 95 f.) bedeutet nicht, dass der kantonale Richter unbesehen alles, was behauptet wird, von Amtes wegen prüfen müsste. Er hat nur dort den Sachverhalt abzuklären (bzw. besser abzuklären), wo noch Unsicherheiten und Unklarheiten bestehen, sei es, dass er von einer Partei auf solche - wirkliche oder vermeintliche - Fehler hingewiesen wird, sei es, dass er sie selbst feststellt. Im vorliegenden Fall trifft keines von beiden zu. Namentlich kann nicht beanstandet werden, dass die Vorinstanz zur Prüfung des Gesuches um Gewährung der unentgeltlichen Rechtspflege auf die vorhandenen Akten abgestellt und gestützt darauf die Aussichtslosigkeit der Beschwerde angenommen hat. Dispositiv Demnach erkennt das Eidg. Versicherungsgericht: I. Die Verwaltungsgerichtsbeschwerde wird abgewiesen. II. Die 20tägige Frist zur Leistung des Kostenvorschusses an die Vorinstanz beginnt mit der Zustellung dieses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